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6262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30"/>
          <w:szCs w:val="30"/>
          <w:rtl w:val="0"/>
        </w:rPr>
        <w:t xml:space="preserve">ГОСУДАРСТВЕННОЕ ПРИРОДООХРАННОЕ УЧРЕЖДЕНИЕ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-137794</wp:posOffset>
            </wp:positionH>
            <wp:positionV relativeFrom="paragraph">
              <wp:posOffset>-100964</wp:posOffset>
            </wp:positionV>
            <wp:extent cx="1395730" cy="1252855"/>
            <wp:effectExtent b="0" l="0" r="0" t="0"/>
            <wp:wrapSquare wrapText="bothSides" distB="0" distT="0" distL="114300" distR="114300"/>
            <wp:docPr descr="Логотип.jpg" id="1" name="image1.jpg"/>
            <a:graphic>
              <a:graphicData uri="http://schemas.openxmlformats.org/drawingml/2006/picture">
                <pic:pic>
                  <pic:nvPicPr>
                    <pic:cNvPr descr="Логотип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252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6262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30"/>
          <w:szCs w:val="30"/>
          <w:rtl w:val="0"/>
        </w:rPr>
        <w:t xml:space="preserve">«БЕРЕЗИНСКИЙ БИОСФЕРНЫЙ ЗАПОВЕДНИК»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1e1c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c11"/>
          <w:rtl w:val="0"/>
        </w:rPr>
        <w:t xml:space="preserve">Витебская обл., Лепельский р-н, д. Домжерицы, ул. Центральная, д. 3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1e1c1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e1c11"/>
          <w:rtl w:val="0"/>
        </w:rPr>
        <w:t xml:space="preserve">тел. +375 (2132) 37744, 37742 (факс)</w:t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Times New Roman" w:cs="Times New Roman" w:eastAsia="Times New Roman" w:hAnsi="Times New Roman"/>
          <w:color w:val="1e1c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c11"/>
          <w:rtl w:val="0"/>
        </w:rPr>
        <w:t xml:space="preserve">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tourism@berezinsky.by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e1c11"/>
          <w:rtl w:val="0"/>
        </w:rPr>
        <w:t xml:space="preserve">  сайт: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www.berezinsky.by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e1c1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a5da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60808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a5da"/>
          <w:sz w:val="44"/>
          <w:szCs w:val="44"/>
          <w:u w:val="none"/>
          <w:shd w:fill="auto" w:val="clear"/>
          <w:vertAlign w:val="baseline"/>
          <w:rtl w:val="0"/>
        </w:rPr>
        <w:t xml:space="preserve">Тур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27" w:right="11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a5da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a5da"/>
          <w:sz w:val="44"/>
          <w:szCs w:val="44"/>
          <w:u w:val="none"/>
          <w:shd w:fill="auto" w:val="clear"/>
          <w:vertAlign w:val="baseline"/>
          <w:rtl w:val="0"/>
        </w:rPr>
        <w:t xml:space="preserve">«Отдыхаем активно!»</w:t>
      </w:r>
    </w:p>
    <w:tbl>
      <w:tblPr>
        <w:tblStyle w:val="Table1"/>
        <w:tblW w:w="10740.0" w:type="dxa"/>
        <w:jc w:val="left"/>
        <w:tblInd w:w="-108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A0"/>
      </w:tblPr>
      <w:tblGrid>
        <w:gridCol w:w="1560"/>
        <w:gridCol w:w="9180"/>
        <w:tblGridChange w:id="0">
          <w:tblGrid>
            <w:gridCol w:w="1560"/>
            <w:gridCol w:w="918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День 1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c 12:00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Приезд в Березинский заповедник (д. Домжерицы)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Заселение в гостиничный комплекс «Сергуч»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(При себе иметь паспорт)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13:00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в ресторане «Сергуч» (по желанию за дополнительную плату)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14:00 –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16:00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Конная прогулка «Верхом по белорусской сельве»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(Проводится базовое обучение; вес наездника - до 95 кг; возраст наездника – с 14 лет)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18:00      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Ужин в ресторане «Сергуч»</w:t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19:00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Экскурсия «По лесной заповедной тропе» (3 км)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(Прогулка по вечернему лесу)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День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09:00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Завтрак в ресторане «Сергуч»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10:00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Экскурсия по велосипедному маршруту «Сергучский канал - часть водного пути «Из варяг в греки»»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14:00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в ресторане «Сергуч» (по желанию за дополнительную плату)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 20:00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Выселение из ГК «Сергуч». Отъезд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NB! Порядок и время предоставления услуг может варьироваться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08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A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Стоимость тура:</w:t>
            </w:r>
          </w:p>
        </w:tc>
      </w:tr>
      <w:tr>
        <w:trPr>
          <w:cantSplit w:val="0"/>
          <w:trHeight w:val="384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Проживание в гостиничном комплексе «Сергуч»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Однокомнатный двухместный номер «Стандарт» - 106 BYN/ номер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Двухкомнатный двухместный номер «ДеЛюкс» - 133 BYN/ номер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Двухкомнатный двухместный номер «Романтический» - 146 BYN/ номер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Двухкомнатный двухместный номер «Премиум» - 226 BYN/номер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Трёхкомнатный четырехместный номер «Семейный» - 212 BYN/ номер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Дополнительное место - 43 BYN/чел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туристические услуги: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Питание (завтрак, ужин) – 33 BYN/чел               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Велоэкскурсия «Сергучский канал», экскурсионное обслуживание  «По лесной заповедной тропе», конная прогулка «Верхом по белорусской сельве»  - 100 BYN/ чел                          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*Многодетным семьям предоставляется скидка на входные билеты и экскурсионное обслуживание в размере 25 %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Бронирование и информация по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c11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c11"/>
          <w:sz w:val="24"/>
          <w:szCs w:val="24"/>
          <w:u w:val="none"/>
          <w:shd w:fill="auto" w:val="clear"/>
          <w:vertAlign w:val="baseline"/>
          <w:rtl w:val="0"/>
        </w:rPr>
        <w:t xml:space="preserve">+375 (2132) 37730,  +375 (44) 5545552</w:t>
        <w:tab/>
        <w:t xml:space="preserve">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tourism@berezinsky.by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Times New Roman" w:cs="Times New Roman" w:eastAsia="Times New Roman" w:hAnsi="Times New Roman"/>
          <w:color w:val="26262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30"/>
          <w:szCs w:val="30"/>
          <w:rtl w:val="0"/>
        </w:rPr>
        <w:t xml:space="preserve">Хорошего отдыха!</w:t>
      </w:r>
    </w:p>
    <w:sectPr>
      <w:headerReference r:id="rId10" w:type="first"/>
      <w:pgSz w:h="16838" w:w="11906" w:orient="portrait"/>
      <w:pgMar w:bottom="0" w:top="567" w:left="709" w:right="424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spacing w:after="120" w:lineRule="auto"/>
      <w:rPr>
        <w:rFonts w:ascii="Century Gothic" w:cs="Century Gothic" w:eastAsia="Century Gothic" w:hAnsi="Century Gothic"/>
        <w:color w:val="160808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d2eaf0" w:val="clear"/>
    </w:tcPr>
    <w:tblStylePr w:type="band1Horz">
      <w:tcPr>
        <w:shd w:fill="d2eaf0" w:val="clear"/>
      </w:tcPr>
    </w:tblStylePr>
    <w:tblStylePr w:type="band1Vert">
      <w:tcPr>
        <w:shd w:fill="d2eaf0" w:val="clear"/>
      </w:tcPr>
    </w:tblStylePr>
    <w:tblStylePr w:type="firstCol">
      <w:rPr>
        <w:b w:val="1"/>
      </w:rPr>
    </w:tblStylePr>
    <w:tblStylePr w:type="firstRow">
      <w:rPr>
        <w:rFonts w:ascii="Cambria" w:cs="Cambria" w:eastAsia="Cambria" w:hAnsi="Cambria"/>
      </w:rPr>
      <w:tcPr>
        <w:tcBorders>
          <w:top w:color="000000" w:space="0" w:sz="0" w:val="nil"/>
          <w:bottom w:color="4bacc6" w:space="0" w:sz="8" w:val="single"/>
        </w:tcBorders>
      </w:tcPr>
    </w:tblStylePr>
    <w:tblStylePr w:type="lastCol">
      <w:rPr>
        <w:b w:val="1"/>
      </w:rPr>
      <w:tcPr>
        <w:tcBorders>
          <w:top w:color="4bacc6" w:space="0" w:sz="8" w:val="single"/>
          <w:bottom w:color="4bacc6" w:space="0" w:sz="8" w:val="single"/>
        </w:tcBorders>
      </w:tcPr>
    </w:tblStylePr>
    <w:tblStylePr w:type="lastRow">
      <w:rPr>
        <w:b w:val="1"/>
        <w:color w:val="1f497d"/>
      </w:rPr>
      <w:tcPr>
        <w:tcBorders>
          <w:top w:color="4bacc6" w:space="0" w:sz="8" w:val="single"/>
          <w:bottom w:color="4bacc6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d2eaf0" w:val="clear"/>
    </w:tcPr>
    <w:tblStylePr w:type="band1Horz">
      <w:tcPr>
        <w:shd w:fill="d2eaf0" w:val="clear"/>
      </w:tcPr>
    </w:tblStylePr>
    <w:tblStylePr w:type="band1Vert">
      <w:tcPr>
        <w:shd w:fill="d2eaf0" w:val="clear"/>
      </w:tcPr>
    </w:tblStylePr>
    <w:tblStylePr w:type="firstCol">
      <w:rPr>
        <w:b w:val="1"/>
      </w:rPr>
    </w:tblStylePr>
    <w:tblStylePr w:type="firstRow">
      <w:rPr>
        <w:rFonts w:ascii="Cambria" w:cs="Cambria" w:eastAsia="Cambria" w:hAnsi="Cambria"/>
      </w:rPr>
      <w:tcPr>
        <w:tcBorders>
          <w:top w:color="000000" w:space="0" w:sz="0" w:val="nil"/>
          <w:bottom w:color="4bacc6" w:space="0" w:sz="8" w:val="single"/>
        </w:tcBorders>
      </w:tcPr>
    </w:tblStylePr>
    <w:tblStylePr w:type="lastCol">
      <w:rPr>
        <w:b w:val="1"/>
      </w:rPr>
      <w:tcPr>
        <w:tcBorders>
          <w:top w:color="4bacc6" w:space="0" w:sz="8" w:val="single"/>
          <w:bottom w:color="4bacc6" w:space="0" w:sz="8" w:val="single"/>
        </w:tcBorders>
      </w:tcPr>
    </w:tblStylePr>
    <w:tblStylePr w:type="lastRow">
      <w:rPr>
        <w:b w:val="1"/>
        <w:color w:val="1f497d"/>
      </w:rPr>
      <w:tcPr>
        <w:tcBorders>
          <w:top w:color="4bacc6" w:space="0" w:sz="8" w:val="single"/>
          <w:bottom w:color="4bacc6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tourism@berezinsky.by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ourism@berezinsky.by" TargetMode="External"/><Relationship Id="rId8" Type="http://schemas.openxmlformats.org/officeDocument/2006/relationships/hyperlink" Target="http://www.berezinsky.b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